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2BE35C2" w14:textId="77777777" w:rsidR="00B7528D" w:rsidRDefault="00B7528D" w:rsidP="001A3B3D">
      <w:r>
        <w:separator/>
      </w:r>
    </w:p>
  </w:endnote>
  <w:endnote w:type="continuationSeparator" w:id="0">
    <w:p w14:paraId="70811D5B" w14:textId="77777777" w:rsidR="00B7528D" w:rsidRDefault="00B7528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5002EFF" w:usb1="C200ACFF"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498DFC77" w:rsidR="001A3B3D" w:rsidRPr="006F6D3D" w:rsidRDefault="001A6C01" w:rsidP="0056610F">
    <w:pPr>
      <w:pStyle w:val="Footer"/>
      <w:jc w:val="start"/>
      <w:rPr>
        <w:sz w:val="16"/>
        <w:szCs w:val="16"/>
      </w:rPr>
    </w:pPr>
    <w:r>
      <w:rPr>
        <w:sz w:val="16"/>
        <w:szCs w:val="16"/>
      </w:rPr>
      <w:t xml:space="preserve">PROSIGHT </w:t>
    </w:r>
    <w:r w:rsidR="001A3B3D" w:rsidRPr="006F6D3D">
      <w:rPr>
        <w:sz w:val="16"/>
        <w:szCs w:val="16"/>
      </w:rPr>
      <w:t>20</w:t>
    </w:r>
    <w:r w:rsidR="00623A72">
      <w:rPr>
        <w:sz w:val="16"/>
        <w:szCs w:val="16"/>
      </w:rPr>
      <w:t>26</w:t>
    </w:r>
    <w:r w:rsidR="001A3B3D" w:rsidRPr="006F6D3D">
      <w:rPr>
        <w:sz w:val="16"/>
        <w:szCs w:val="16"/>
      </w:rPr>
      <w:t xml:space="preserve"> </w:t>
    </w:r>
    <w:r w:rsidR="00623A72">
      <w:rPr>
        <w:sz w:val="16"/>
        <w:szCs w:val="16"/>
      </w:rPr>
      <w:t>PMI Indonesia Chapter</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22FE7FF" w14:textId="77777777" w:rsidR="00B7528D" w:rsidRDefault="00B7528D" w:rsidP="001A3B3D">
      <w:r>
        <w:separator/>
      </w:r>
    </w:p>
  </w:footnote>
  <w:footnote w:type="continuationSeparator" w:id="0">
    <w:p w14:paraId="1D789CE9" w14:textId="77777777" w:rsidR="00B7528D" w:rsidRDefault="00B7528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74562"/>
    <w:rsid w:val="001A2EFD"/>
    <w:rsid w:val="001A3B3D"/>
    <w:rsid w:val="001A6C01"/>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23A72"/>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E2B72"/>
    <w:rsid w:val="009F1D79"/>
    <w:rsid w:val="00A059B3"/>
    <w:rsid w:val="00AE3409"/>
    <w:rsid w:val="00B11A60"/>
    <w:rsid w:val="00B22613"/>
    <w:rsid w:val="00B44A76"/>
    <w:rsid w:val="00B55FD2"/>
    <w:rsid w:val="00B7528D"/>
    <w:rsid w:val="00B768D1"/>
    <w:rsid w:val="00BA1025"/>
    <w:rsid w:val="00BC3420"/>
    <w:rsid w:val="00BD670B"/>
    <w:rsid w:val="00BE7D3C"/>
    <w:rsid w:val="00BF5FF6"/>
    <w:rsid w:val="00C0207F"/>
    <w:rsid w:val="00C11EF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BUDI HARTONO</cp:lastModifiedBy>
  <cp:revision>2</cp:revision>
  <dcterms:created xsi:type="dcterms:W3CDTF">2026-05-12T09:22:00Z</dcterms:created>
  <dcterms:modified xsi:type="dcterms:W3CDTF">2026-05-12T09:22:00Z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abae0c27-a7dc-40fa-9fae-a550b83c5a44</vt:lpwstr>
  </property>
</Properties>
</file>